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D5" w:rsidRDefault="000727E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C19D5" w:rsidRDefault="003C19D5">
      <w:pPr>
        <w:spacing w:after="0" w:line="240" w:lineRule="auto"/>
        <w:jc w:val="center"/>
      </w:pPr>
    </w:p>
    <w:p w:rsidR="003C19D5" w:rsidRDefault="000727EE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3C19D5" w:rsidRDefault="003C19D5">
      <w:pPr>
        <w:spacing w:after="0" w:line="240" w:lineRule="auto"/>
        <w:jc w:val="center"/>
      </w:pP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173710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ŽEMĖS SKLYPŲ KADASTRINIŲ MATAVIMŲ BYLŲ RENGIMO PASLAUGOS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Naudojamo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2.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0,5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3.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0.501ha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</w:t>
      </w:r>
      <w:r>
        <w:rPr>
          <w:rFonts w:ascii="Times New Roman" w:hAnsi="Times New Roman" w:cs="Times New Roman"/>
          <w:sz w:val="24"/>
          <w:szCs w:val="24"/>
        </w:rPr>
        <w:t>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4.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5.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6.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7.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9,0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8.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9,01 ha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įkainis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iš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 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 ha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2.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 ha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3.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2,5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4.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2.501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4,5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5.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4,501 ha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6.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tikslinimas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kai </w:t>
      </w:r>
      <w:proofErr w:type="spellStart"/>
      <w:r>
        <w:rPr>
          <w:rFonts w:ascii="Times New Roman" w:hAnsi="Times New Roman" w:cs="Times New Roman"/>
          <w:sz w:val="24"/>
          <w:szCs w:val="24"/>
        </w:rPr>
        <w:t>keiči</w:t>
      </w:r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nerengiant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perskaičiuojamos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patikslinami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tikslinti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7.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</w:t>
      </w:r>
      <w:r>
        <w:rPr>
          <w:rFonts w:ascii="Times New Roman" w:hAnsi="Times New Roman" w:cs="Times New Roman"/>
          <w:sz w:val="24"/>
          <w:szCs w:val="24"/>
        </w:rPr>
        <w:t>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2002-04-15 LR </w:t>
      </w:r>
      <w:proofErr w:type="spellStart"/>
      <w:r>
        <w:rPr>
          <w:rFonts w:ascii="Times New Roman" w:hAnsi="Times New Roman" w:cs="Times New Roman"/>
          <w:sz w:val="24"/>
          <w:szCs w:val="24"/>
        </w:rPr>
        <w:t>Vyriausybės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nutarimu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534, 54 -1 p.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papildymų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54 -2, 54-3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pildyti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8.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</w:t>
      </w:r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atstatymas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paženklinimas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(LR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nuostatai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(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8.1.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8.2.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z w:val="24"/>
          <w:szCs w:val="24"/>
        </w:rPr>
        <w:t>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8.3.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8.4.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24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įkainis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iš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kiekvienos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apytikris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didėti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</w:t>
      </w:r>
      <w:r>
        <w:rPr>
          <w:rFonts w:ascii="Times New Roman" w:hAnsi="Times New Roman" w:cs="Times New Roman"/>
          <w:i/>
          <w:sz w:val="24"/>
          <w:szCs w:val="24"/>
        </w:rPr>
        <w:t xml:space="preserve">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Naudojamo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Matika</w:t>
      </w:r>
      <w:proofErr w:type="spellEnd"/>
      <w:r>
        <w:rPr>
          <w:rFonts w:ascii="Times New Roman" w:hAnsi="Times New Roman" w:cs="Times New Roman"/>
          <w:sz w:val="24"/>
          <w:szCs w:val="24"/>
        </w:rPr>
        <w:t>“ , 300714681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>: 40 752,80</w:t>
      </w:r>
      <w:r>
        <w:rPr>
          <w:rFonts w:ascii="Times New Roman" w:hAnsi="Times New Roman" w:cs="Times New Roman"/>
          <w:sz w:val="24"/>
          <w:szCs w:val="24"/>
        </w:rPr>
        <w:t xml:space="preserve">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</w:t>
      </w:r>
      <w:r>
        <w:rPr>
          <w:rFonts w:ascii="Times New Roman" w:hAnsi="Times New Roman" w:cs="Times New Roman"/>
          <w:i/>
          <w:sz w:val="24"/>
          <w:szCs w:val="24"/>
        </w:rPr>
        <w:t>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</w:t>
      </w:r>
      <w:r>
        <w:rPr>
          <w:rFonts w:ascii="Times New Roman" w:hAnsi="Times New Roman" w:cs="Times New Roman"/>
          <w:i/>
          <w:sz w:val="24"/>
          <w:szCs w:val="24"/>
        </w:rPr>
        <w:t>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Nr.2 "</w:t>
      </w:r>
      <w:proofErr w:type="spellStart"/>
      <w:r>
        <w:rPr>
          <w:rFonts w:ascii="Times New Roman" w:hAnsi="Times New Roman" w:cs="Times New Roman"/>
          <w:sz w:val="24"/>
          <w:szCs w:val="24"/>
        </w:rPr>
        <w:t>Naujo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VĮ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120093212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</w:t>
      </w:r>
      <w:r>
        <w:rPr>
          <w:rFonts w:ascii="Times New Roman" w:hAnsi="Times New Roman" w:cs="Times New Roman"/>
          <w:i/>
          <w:sz w:val="24"/>
          <w:szCs w:val="24"/>
        </w:rPr>
        <w:t>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11 315,92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3C19D5" w:rsidRDefault="000727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2016-06-07</w:t>
      </w:r>
    </w:p>
    <w:p w:rsidR="003C19D5" w:rsidRDefault="003C19D5">
      <w:pPr>
        <w:spacing w:after="0" w:line="240" w:lineRule="auto"/>
        <w:jc w:val="center"/>
      </w:pPr>
    </w:p>
    <w:p w:rsidR="003C19D5" w:rsidRDefault="000727EE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C19D5" w:rsidRDefault="003C19D5">
      <w:pPr>
        <w:spacing w:after="0" w:line="240" w:lineRule="auto"/>
        <w:jc w:val="center"/>
      </w:pPr>
    </w:p>
    <w:sectPr w:rsidR="003C19D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7EE" w:rsidRDefault="000727EE">
      <w:pPr>
        <w:spacing w:after="0" w:line="240" w:lineRule="auto"/>
      </w:pPr>
      <w:r>
        <w:separator/>
      </w:r>
    </w:p>
  </w:endnote>
  <w:endnote w:type="continuationSeparator" w:id="0">
    <w:p w:rsidR="000727EE" w:rsidRDefault="0007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9D5" w:rsidRDefault="003C19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7EE" w:rsidRDefault="000727EE">
      <w:pPr>
        <w:spacing w:after="0" w:line="240" w:lineRule="auto"/>
      </w:pPr>
      <w:r>
        <w:separator/>
      </w:r>
    </w:p>
  </w:footnote>
  <w:footnote w:type="continuationSeparator" w:id="0">
    <w:p w:rsidR="000727EE" w:rsidRDefault="00072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0727EE"/>
    <w:rsid w:val="003C19D5"/>
    <w:rsid w:val="00A84D90"/>
    <w:rsid w:val="00BD6F4D"/>
    <w:rsid w:val="00D1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E5857-08F0-4913-AB6B-75E87DCF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791</Words>
  <Characters>4510</Characters>
  <Application>Microsoft Office Word</Application>
  <DocSecurity>0</DocSecurity>
  <Lines>37</Lines>
  <Paragraphs>10</Paragraphs>
  <ScaleCrop>false</ScaleCrop>
  <Company>Company</Company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2016-06-13T10:57:00Z</cp:lastPrinted>
  <dcterms:created xsi:type="dcterms:W3CDTF">2016-06-13T10:57:00Z</dcterms:created>
  <dcterms:modified xsi:type="dcterms:W3CDTF">2016-06-13T10:57:00Z</dcterms:modified>
</cp:coreProperties>
</file>